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25" w:line="480" w:lineRule="auto"/>
        <w:jc w:val="left"/>
        <w:rPr>
          <w:rFonts w:hint="eastAsia" w:ascii="Times New Roman" w:hAnsi="Times New Roman" w:eastAsia="黑体"/>
          <w:color w:val="3D3D3D"/>
          <w:kern w:val="0"/>
          <w:sz w:val="44"/>
          <w:szCs w:val="44"/>
          <w:lang w:val="en-US" w:eastAsia="zh-CN"/>
        </w:rPr>
      </w:pPr>
      <w:r>
        <w:rPr>
          <w:rFonts w:ascii="Times New Roman" w:hAnsi="Times New Roman" w:eastAsia="黑体"/>
          <w:color w:val="3D3D3D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3D3D3D"/>
          <w:kern w:val="0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3D3D3D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3D3D3D"/>
          <w:kern w:val="0"/>
          <w:sz w:val="44"/>
          <w:szCs w:val="44"/>
        </w:rPr>
        <w:t>首批“浙江省高校领军人才培养计划”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方正小标宋简体"/>
          <w:color w:val="3D3D3D"/>
          <w:kern w:val="0"/>
          <w:sz w:val="44"/>
          <w:szCs w:val="44"/>
        </w:rPr>
        <w:t>培养对象建议名单</w:t>
      </w:r>
    </w:p>
    <w:tbl>
      <w:tblPr>
        <w:tblStyle w:val="4"/>
        <w:tblW w:w="10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343"/>
        <w:gridCol w:w="2760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创新领军人才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舒振宇</w:t>
            </w:r>
          </w:p>
        </w:tc>
        <w:tc>
          <w:tcPr>
            <w:tcW w:w="4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浙大宁波理工学院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高层次拔尖人才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徐亦冬</w:t>
            </w:r>
          </w:p>
        </w:tc>
        <w:tc>
          <w:tcPr>
            <w:tcW w:w="4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浙大宁波理工学院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高层次拔尖人才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郭正虹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浙大宁波理工学院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青年优秀人才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冉诗雅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浙大宁波理工学院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青年优秀人才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王山慧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浙大宁波理工学院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青年优秀人才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陆俊杰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浙大宁波理工学院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青年优秀人才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聂迎娉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浙大宁波理工学院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70B93"/>
    <w:rsid w:val="53070B93"/>
    <w:rsid w:val="5E2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2021-06-10T01:46:00Z</dcterms:created>
  <dc:creator>Jane 江佶航</dc:creator>
  <cp:lastModifiedBy>Jane 江佶航</cp:lastModifiedBy>
  <dcterms:modified xsi:type="dcterms:W3CDTF">2021-06-11T03:35:23Z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F7F36749BC2A4DACBFCDB39F9D64E786</vt:lpwstr>
  </property>
</Properties>
</file>